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widowControl w:val="0"/>
        <w:kinsoku/>
        <w:wordWrap/>
        <w:overflowPunct/>
        <w:topLinePunct w:val="0"/>
        <w:autoSpaceDE/>
        <w:autoSpaceDN/>
        <w:bidi w:val="0"/>
        <w:adjustRightInd/>
        <w:snapToGrid/>
        <w:spacing w:line="620" w:lineRule="exact"/>
        <w:jc w:val="center"/>
        <w:textAlignment w:val="auto"/>
        <w:outlineLvl w:val="9"/>
        <w:rPr>
          <w:rFonts w:eastAsia="方正小标宋简体"/>
          <w:snapToGrid w:val="0"/>
          <w:spacing w:val="20"/>
          <w:kern w:val="0"/>
          <w:sz w:val="44"/>
          <w:szCs w:val="44"/>
        </w:rPr>
      </w:pPr>
      <w:r>
        <w:rPr>
          <w:rFonts w:hint="eastAsia" w:eastAsia="方正小标宋简体"/>
          <w:snapToGrid w:val="0"/>
          <w:spacing w:val="20"/>
          <w:kern w:val="0"/>
          <w:sz w:val="44"/>
          <w:szCs w:val="44"/>
        </w:rPr>
        <w:t>广州市南沙</w:t>
      </w:r>
      <w:r>
        <w:rPr>
          <w:rFonts w:eastAsia="方正小标宋简体"/>
          <w:snapToGrid w:val="0"/>
          <w:spacing w:val="20"/>
          <w:kern w:val="0"/>
          <w:sz w:val="44"/>
          <w:szCs w:val="44"/>
        </w:rPr>
        <w:t>区人民法院</w:t>
      </w:r>
    </w:p>
    <w:p>
      <w:pPr>
        <w:spacing w:line="620" w:lineRule="exact"/>
        <w:jc w:val="center"/>
        <w:rPr>
          <w:rFonts w:hint="eastAsia" w:eastAsia="方正小标宋简体"/>
          <w:snapToGrid w:val="0"/>
          <w:spacing w:val="20"/>
          <w:kern w:val="0"/>
          <w:sz w:val="44"/>
          <w:szCs w:val="44"/>
        </w:rPr>
      </w:pPr>
      <w:r>
        <w:rPr>
          <w:rFonts w:hint="eastAsia" w:eastAsia="方正小标宋简体"/>
          <w:snapToGrid w:val="0"/>
          <w:spacing w:val="20"/>
          <w:kern w:val="0"/>
          <w:sz w:val="44"/>
          <w:szCs w:val="44"/>
        </w:rPr>
        <w:t>广东</w:t>
      </w:r>
      <w:r>
        <w:rPr>
          <w:rFonts w:eastAsia="方正小标宋简体"/>
          <w:snapToGrid w:val="0"/>
          <w:spacing w:val="20"/>
          <w:kern w:val="0"/>
          <w:sz w:val="44"/>
          <w:szCs w:val="44"/>
        </w:rPr>
        <w:t>自由贸易区南沙片区</w:t>
      </w:r>
      <w:r>
        <w:rPr>
          <w:rFonts w:hint="eastAsia" w:eastAsia="方正小标宋简体"/>
          <w:snapToGrid w:val="0"/>
          <w:spacing w:val="20"/>
          <w:kern w:val="0"/>
          <w:sz w:val="44"/>
          <w:szCs w:val="44"/>
        </w:rPr>
        <w:t>人民</w:t>
      </w:r>
      <w:r>
        <w:rPr>
          <w:rFonts w:eastAsia="方正小标宋简体"/>
          <w:snapToGrid w:val="0"/>
          <w:spacing w:val="20"/>
          <w:kern w:val="0"/>
          <w:sz w:val="44"/>
          <w:szCs w:val="44"/>
        </w:rPr>
        <w:t>法院</w:t>
      </w:r>
    </w:p>
    <w:p>
      <w:pPr>
        <w:spacing w:line="620" w:lineRule="exact"/>
        <w:jc w:val="center"/>
        <w:rPr>
          <w:rFonts w:hint="eastAsia" w:eastAsia="宋体"/>
          <w:snapToGrid w:val="0"/>
          <w:kern w:val="0"/>
          <w:sz w:val="28"/>
          <w:szCs w:val="28"/>
        </w:rPr>
      </w:pPr>
      <w:r>
        <w:rPr>
          <w:rFonts w:eastAsia="方正小标宋简体"/>
          <w:snapToGrid w:val="0"/>
          <w:spacing w:val="20"/>
          <w:kern w:val="0"/>
          <w:sz w:val="44"/>
          <w:szCs w:val="44"/>
        </w:rPr>
        <w:t>专业法官会议规则</w:t>
      </w:r>
      <w:r>
        <w:rPr>
          <w:rFonts w:hint="eastAsia" w:eastAsia="方正小标宋简体"/>
          <w:snapToGrid w:val="0"/>
          <w:spacing w:val="20"/>
          <w:kern w:val="0"/>
          <w:sz w:val="44"/>
          <w:szCs w:val="44"/>
        </w:rPr>
        <w:t>（</w:t>
      </w:r>
      <w:r>
        <w:rPr>
          <w:rFonts w:eastAsia="方正小标宋简体"/>
          <w:snapToGrid w:val="0"/>
          <w:spacing w:val="20"/>
          <w:kern w:val="0"/>
          <w:sz w:val="44"/>
          <w:szCs w:val="44"/>
        </w:rPr>
        <w:t>试行</w:t>
      </w:r>
      <w:r>
        <w:rPr>
          <w:rFonts w:hint="eastAsia" w:eastAsia="方正小标宋简体"/>
          <w:snapToGrid w:val="0"/>
          <w:spacing w:val="20"/>
          <w:kern w:val="0"/>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kern w:val="0"/>
          <w:szCs w:val="32"/>
        </w:rPr>
        <w:t>为建立和规范本院专业法官会议工作机制，提升审判质量和效率，统一裁判尺度，根据</w:t>
      </w:r>
      <w:r>
        <w:rPr>
          <w:rFonts w:hint="eastAsia"/>
          <w:kern w:val="0"/>
          <w:szCs w:val="32"/>
        </w:rPr>
        <w:t>《最高人民法院关于完善人民法院专业法官会议工作机制的指导意见》《最高人民法院关于完善人民法院司法责任制的若干意见》</w:t>
      </w:r>
      <w:r>
        <w:rPr>
          <w:kern w:val="0"/>
          <w:szCs w:val="32"/>
        </w:rPr>
        <w:t>《广东省高级人民法院专业法官会议规则》</w:t>
      </w:r>
      <w:r>
        <w:rPr>
          <w:rFonts w:hint="eastAsia"/>
          <w:kern w:val="0"/>
          <w:szCs w:val="32"/>
        </w:rPr>
        <w:t>《广州市中级人民法院专业法官会议规则（试行）》《广州市</w:t>
      </w:r>
      <w:r>
        <w:rPr>
          <w:kern w:val="0"/>
          <w:szCs w:val="32"/>
        </w:rPr>
        <w:t>南沙区人民法院（广东自由</w:t>
      </w:r>
      <w:r>
        <w:rPr>
          <w:rFonts w:hint="eastAsia"/>
          <w:kern w:val="0"/>
          <w:szCs w:val="32"/>
        </w:rPr>
        <w:t>贸易区</w:t>
      </w:r>
      <w:r>
        <w:rPr>
          <w:kern w:val="0"/>
          <w:szCs w:val="32"/>
        </w:rPr>
        <w:t>南沙片区人民法院）“四类案件”</w:t>
      </w:r>
      <w:r>
        <w:rPr>
          <w:rFonts w:hint="eastAsia"/>
          <w:kern w:val="0"/>
          <w:szCs w:val="32"/>
        </w:rPr>
        <w:t>管理监督</w:t>
      </w:r>
      <w:r>
        <w:rPr>
          <w:kern w:val="0"/>
          <w:szCs w:val="32"/>
        </w:rPr>
        <w:t>办法（试行）》等有关规定，结合本院工作实际，制定本规则。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eastAsia="黑体"/>
          <w:kern w:val="0"/>
          <w:szCs w:val="32"/>
        </w:rPr>
        <w:t>第一条</w:t>
      </w:r>
      <w:r>
        <w:rPr>
          <w:kern w:val="0"/>
          <w:szCs w:val="32"/>
        </w:rPr>
        <w:t xml:space="preserve">  </w:t>
      </w:r>
      <w:r>
        <w:rPr>
          <w:rFonts w:hint="eastAsia"/>
          <w:kern w:val="0"/>
          <w:szCs w:val="32"/>
        </w:rPr>
        <w:t>专业法官会议是人民法院向审判组织和院庭长（含审判委员会委员，下同）履行法定职责提供咨询意见的内部工作机制。</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eastAsia="黑体"/>
          <w:kern w:val="0"/>
          <w:szCs w:val="32"/>
        </w:rPr>
        <w:t>第二条</w:t>
      </w:r>
      <w:r>
        <w:rPr>
          <w:kern w:val="0"/>
          <w:szCs w:val="32"/>
        </w:rPr>
        <w:t xml:space="preserve">  专业法官会议</w:t>
      </w:r>
      <w:r>
        <w:rPr>
          <w:rFonts w:hint="eastAsia"/>
          <w:kern w:val="0"/>
          <w:szCs w:val="32"/>
        </w:rPr>
        <w:t>通常</w:t>
      </w:r>
      <w:r>
        <w:rPr>
          <w:kern w:val="0"/>
          <w:szCs w:val="32"/>
        </w:rPr>
        <w:t>在审判执行部门内部</w:t>
      </w:r>
      <w:r>
        <w:rPr>
          <w:rFonts w:hint="eastAsia"/>
          <w:kern w:val="0"/>
          <w:szCs w:val="32"/>
        </w:rPr>
        <w:t>组织</w:t>
      </w:r>
      <w:r>
        <w:rPr>
          <w:kern w:val="0"/>
          <w:szCs w:val="32"/>
        </w:rPr>
        <w:t>召开，由</w:t>
      </w:r>
      <w:r>
        <w:rPr>
          <w:rFonts w:hint="eastAsia"/>
          <w:kern w:val="0"/>
          <w:szCs w:val="32"/>
        </w:rPr>
        <w:t>全体</w:t>
      </w:r>
      <w:r>
        <w:rPr>
          <w:kern w:val="0"/>
          <w:szCs w:val="32"/>
        </w:rPr>
        <w:t>员额法官组成</w:t>
      </w:r>
      <w:r>
        <w:rPr>
          <w:rFonts w:hint="eastAsia"/>
          <w:kern w:val="0"/>
          <w:szCs w:val="32"/>
        </w:rPr>
        <w:t>；员额法官不足三人的，应当邀请同一审判专业领域其他部门员额法官参加。</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eastAsia="黑体"/>
          <w:kern w:val="0"/>
          <w:szCs w:val="32"/>
        </w:rPr>
        <w:t>第三条</w:t>
      </w:r>
      <w:r>
        <w:rPr>
          <w:rFonts w:hint="eastAsia"/>
          <w:kern w:val="0"/>
          <w:szCs w:val="32"/>
        </w:rPr>
        <w:t xml:space="preserve"> </w:t>
      </w:r>
      <w:r>
        <w:rPr>
          <w:kern w:val="0"/>
          <w:szCs w:val="32"/>
        </w:rPr>
        <w:t xml:space="preserve"> </w:t>
      </w:r>
      <w:r>
        <w:rPr>
          <w:rFonts w:hint="eastAsia"/>
          <w:kern w:val="0"/>
          <w:szCs w:val="32"/>
        </w:rPr>
        <w:t>根据案件实际情况，必要时可以跨</w:t>
      </w:r>
      <w:r>
        <w:rPr>
          <w:kern w:val="0"/>
          <w:szCs w:val="32"/>
        </w:rPr>
        <w:t>审判庭</w:t>
      </w:r>
      <w:r>
        <w:rPr>
          <w:rFonts w:hint="eastAsia"/>
          <w:kern w:val="0"/>
          <w:szCs w:val="32"/>
        </w:rPr>
        <w:t>、审判专业领域召开专业法官会议，邀请院领导、审判委员会委员或者其他部门的法官参加。</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eastAsia="黑体"/>
          <w:kern w:val="0"/>
          <w:szCs w:val="32"/>
        </w:rPr>
        <w:t>第四条</w:t>
      </w:r>
      <w:r>
        <w:rPr>
          <w:rFonts w:hint="eastAsia"/>
          <w:kern w:val="0"/>
          <w:szCs w:val="32"/>
        </w:rPr>
        <w:t xml:space="preserve">  参会</w:t>
      </w:r>
      <w:r>
        <w:rPr>
          <w:kern w:val="0"/>
          <w:szCs w:val="32"/>
        </w:rPr>
        <w:t>法官地位、权责平等。</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eastAsia="黑体"/>
          <w:kern w:val="0"/>
          <w:szCs w:val="32"/>
        </w:rPr>
        <w:t>第</w:t>
      </w:r>
      <w:r>
        <w:rPr>
          <w:rFonts w:hint="eastAsia" w:eastAsia="黑体"/>
          <w:kern w:val="0"/>
          <w:szCs w:val="32"/>
        </w:rPr>
        <w:t>五</w:t>
      </w:r>
      <w:r>
        <w:rPr>
          <w:rFonts w:eastAsia="黑体"/>
          <w:kern w:val="0"/>
          <w:szCs w:val="32"/>
        </w:rPr>
        <w:t>条</w:t>
      </w:r>
      <w:r>
        <w:rPr>
          <w:kern w:val="0"/>
          <w:szCs w:val="32"/>
        </w:rPr>
        <w:t xml:space="preserve">  </w:t>
      </w:r>
      <w:r>
        <w:rPr>
          <w:rFonts w:hint="eastAsia"/>
          <w:kern w:val="0"/>
          <w:szCs w:val="32"/>
        </w:rPr>
        <w:t>跨审判庭、审判专业领域的专业法官会议，由院长或其委托的副院长、审判委员会委员、庭长主持。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本审判庭的专业法官会议，由庭长或其委托的副庭长主持。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eastAsia="黑体"/>
          <w:kern w:val="0"/>
          <w:szCs w:val="32"/>
        </w:rPr>
        <w:t>第六条</w:t>
      </w:r>
      <w:r>
        <w:rPr>
          <w:rFonts w:hint="eastAsia"/>
          <w:kern w:val="0"/>
          <w:szCs w:val="32"/>
        </w:rPr>
        <w:t xml:space="preserve">  主持人可以根据议题性质和实际需要，邀请法官助理、综合</w:t>
      </w:r>
      <w:r>
        <w:rPr>
          <w:kern w:val="0"/>
          <w:szCs w:val="32"/>
        </w:rPr>
        <w:t>业务部门工作人员、</w:t>
      </w:r>
      <w:r>
        <w:rPr>
          <w:rFonts w:hint="eastAsia"/>
          <w:kern w:val="0"/>
          <w:szCs w:val="32"/>
        </w:rPr>
        <w:t>人民陪审员、专家学者或其他具有专门知识的人员列席会议并参与讨论。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eastAsia="黑体"/>
          <w:kern w:val="0"/>
          <w:szCs w:val="32"/>
        </w:rPr>
        <w:t>第</w:t>
      </w:r>
      <w:r>
        <w:rPr>
          <w:rFonts w:hint="eastAsia" w:eastAsia="黑体"/>
          <w:kern w:val="0"/>
          <w:szCs w:val="32"/>
        </w:rPr>
        <w:t>七</w:t>
      </w:r>
      <w:r>
        <w:rPr>
          <w:rFonts w:eastAsia="黑体"/>
          <w:kern w:val="0"/>
          <w:szCs w:val="32"/>
        </w:rPr>
        <w:t>条</w:t>
      </w:r>
      <w:r>
        <w:rPr>
          <w:kern w:val="0"/>
          <w:szCs w:val="32"/>
        </w:rPr>
        <w:t xml:space="preserve">  专业法官会议成员以及列席人员具有法定回避情形的，应当自行回避。</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eastAsia="黑体"/>
          <w:kern w:val="0"/>
          <w:szCs w:val="32"/>
        </w:rPr>
        <w:t xml:space="preserve">第八条  </w:t>
      </w:r>
      <w:r>
        <w:rPr>
          <w:rFonts w:hint="eastAsia"/>
          <w:kern w:val="0"/>
          <w:szCs w:val="32"/>
        </w:rPr>
        <w:t>专业法官会议讨论案件的法律适用问题或者与事实认定高度关联的证据规则适用问题，必要时也可以讨论其他事项。独任庭、合议庭办理案件时，存在下列情形之一的，应当建议院庭长提交专业法官会议讨论：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（一）独任庭认为需要提交讨论的；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（二）合议庭内部无法形成多数意见，或者持少数意见的法官认为需要提交讨论的；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（三）有必要在审判庭、审判专业领域之间统一法律适用的；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（四）属于《广州市南沙区人民法院（广东自由贸易区南沙片区人民法院）“四类案件”管理监督办法（试行）》规定的“四类案件”范围的；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（五）其他需要提交专业法官会议讨论的。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院庭长履行审判监督管理职责时，发现案件存在前款情形之一的，可以提交专业法官会议讨论；审管办（研究室）认为存在前款第（三）（四）项情形的，应当建议院庭长提交专业法官会议讨论。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eastAsia="黑体"/>
          <w:kern w:val="0"/>
          <w:szCs w:val="32"/>
        </w:rPr>
        <w:t xml:space="preserve">第九条  </w:t>
      </w:r>
      <w:r>
        <w:rPr>
          <w:rFonts w:hint="eastAsia"/>
          <w:kern w:val="0"/>
          <w:szCs w:val="32"/>
        </w:rPr>
        <w:t>拟提交审判委员会讨论决定的案件，应当由专业法官会议先行讨论。但存在下列情形之一的，可以直接提交审判委员会讨论决定：</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（一）依法应当由审判委员会讨论决定，但独任庭、合议庭与院庭长之间不存在分歧的；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（二）确因其他特殊事由无法或者不宜召开专业法官会议讨论，由院长决定提交审判委员会讨论决定的。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eastAsia="黑体"/>
          <w:kern w:val="0"/>
          <w:szCs w:val="32"/>
        </w:rPr>
        <w:t>第</w:t>
      </w:r>
      <w:r>
        <w:rPr>
          <w:rFonts w:hint="eastAsia" w:eastAsia="黑体"/>
          <w:kern w:val="0"/>
          <w:szCs w:val="32"/>
        </w:rPr>
        <w:t>十</w:t>
      </w:r>
      <w:r>
        <w:rPr>
          <w:rFonts w:eastAsia="黑体"/>
          <w:kern w:val="0"/>
          <w:szCs w:val="32"/>
        </w:rPr>
        <w:t>条</w:t>
      </w:r>
      <w:r>
        <w:rPr>
          <w:kern w:val="0"/>
          <w:szCs w:val="32"/>
        </w:rPr>
        <w:t xml:space="preserve">  专业法官会议</w:t>
      </w:r>
      <w:r>
        <w:rPr>
          <w:rFonts w:hint="eastAsia"/>
          <w:kern w:val="0"/>
          <w:szCs w:val="32"/>
        </w:rPr>
        <w:t>可以定期召集，也可以根据实际需要临时召集</w:t>
      </w:r>
      <w:r>
        <w:rPr>
          <w:kern w:val="0"/>
          <w:szCs w:val="32"/>
        </w:rPr>
        <w:t>。</w:t>
      </w:r>
      <w:r>
        <w:rPr>
          <w:rFonts w:hint="eastAsia"/>
          <w:kern w:val="0"/>
          <w:szCs w:val="32"/>
        </w:rPr>
        <w:t>召开专业法官会议需由三位以上（</w:t>
      </w:r>
      <w:r>
        <w:rPr>
          <w:kern w:val="0"/>
          <w:szCs w:val="32"/>
        </w:rPr>
        <w:t>含本数）</w:t>
      </w:r>
      <w:r>
        <w:rPr>
          <w:rFonts w:hint="eastAsia"/>
          <w:kern w:val="0"/>
          <w:szCs w:val="32"/>
        </w:rPr>
        <w:t>员额法官参加，参会</w:t>
      </w:r>
      <w:r>
        <w:rPr>
          <w:kern w:val="0"/>
          <w:szCs w:val="32"/>
        </w:rPr>
        <w:t>成员不得无故缺席，确无法参加的，应提前向会议主持人请假。</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eastAsia="黑体"/>
          <w:kern w:val="0"/>
          <w:szCs w:val="32"/>
        </w:rPr>
        <w:t>第十一条</w:t>
      </w:r>
      <w:r>
        <w:rPr>
          <w:rFonts w:hint="eastAsia"/>
          <w:kern w:val="0"/>
          <w:szCs w:val="32"/>
        </w:rPr>
        <w:t xml:space="preserve"> </w:t>
      </w:r>
      <w:r>
        <w:rPr>
          <w:kern w:val="0"/>
          <w:szCs w:val="32"/>
        </w:rPr>
        <w:t xml:space="preserve"> </w:t>
      </w:r>
      <w:r>
        <w:rPr>
          <w:rFonts w:hint="eastAsia"/>
          <w:kern w:val="0"/>
          <w:szCs w:val="32"/>
        </w:rPr>
        <w:t>主持人应当在会前审查会议材料并决定是否召开专业法官会议。对于法律适用已经明确，专业法官会议已经讨论且没有出现新情况，或者其他不属于专业法官会议讨论范围的，主持人可以决定不召开会议，并根据审判监督管理权限督促或者建议独任庭、合议庭依法及时处理相关案件。主持人决定不召开专业法官会议的情况应当在办案平台或者案卷中留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主持人召开会议时，应当严格执行讨论规则，客观、全面、准确归纳总结会议讨论形成的意见。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eastAsia="黑体"/>
          <w:kern w:val="0"/>
          <w:szCs w:val="32"/>
        </w:rPr>
        <w:t>第</w:t>
      </w:r>
      <w:r>
        <w:rPr>
          <w:rFonts w:hint="eastAsia" w:eastAsia="黑体"/>
          <w:kern w:val="0"/>
          <w:szCs w:val="32"/>
        </w:rPr>
        <w:t>十二</w:t>
      </w:r>
      <w:r>
        <w:rPr>
          <w:rFonts w:eastAsia="黑体"/>
          <w:kern w:val="0"/>
          <w:szCs w:val="32"/>
        </w:rPr>
        <w:t>条</w:t>
      </w:r>
      <w:r>
        <w:rPr>
          <w:kern w:val="0"/>
          <w:szCs w:val="32"/>
        </w:rPr>
        <w:t xml:space="preserve">  </w:t>
      </w:r>
      <w:r>
        <w:rPr>
          <w:rFonts w:hint="eastAsia"/>
          <w:kern w:val="0"/>
          <w:szCs w:val="32"/>
        </w:rPr>
        <w:t>拟提交专业法官会议讨论的案件，承办案件的独任庭、合议庭应当在会议召开前就基本案情、争议焦点、评议意见及其他参考材料等简明扼要准备报告，并在报告中明确拟提交讨论的焦点问题。案件涉及统一法律适用问题的，应当说明类案检索情况，确有必要的应当制作类案检索报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全体参加人员应当在会前认真阅读会议材料，掌握议题相关情况，针对提交讨论的问题做好发言准备。</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eastAsia="黑体"/>
          <w:kern w:val="0"/>
          <w:szCs w:val="32"/>
        </w:rPr>
        <w:t xml:space="preserve">第十三条 </w:t>
      </w:r>
      <w:r>
        <w:rPr>
          <w:rFonts w:hint="eastAsia"/>
          <w:kern w:val="0"/>
          <w:szCs w:val="32"/>
        </w:rPr>
        <w:t xml:space="preserve"> 主持人应当指定专人负责会务工作。召开会议前，应当预留出合理、充足的准备时间，提前将讨论所需的报告等会议材料送交全体参加人员。召开会议时，应当制作会议记录，准确记载发言内容和会议结论，由全体参加人员会后及时签字确认，并在办案平台或者案卷中留痕；参加人员会后还有新的意见，可以补充提交书面材料并再次签字确认。</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eastAsia="黑体"/>
          <w:kern w:val="0"/>
          <w:szCs w:val="32"/>
        </w:rPr>
        <w:t>第十</w:t>
      </w:r>
      <w:r>
        <w:rPr>
          <w:rFonts w:hint="eastAsia" w:eastAsia="黑体"/>
          <w:kern w:val="0"/>
          <w:szCs w:val="32"/>
        </w:rPr>
        <w:t>四</w:t>
      </w:r>
      <w:r>
        <w:rPr>
          <w:rFonts w:eastAsia="黑体"/>
          <w:kern w:val="0"/>
          <w:szCs w:val="32"/>
        </w:rPr>
        <w:t>条</w:t>
      </w:r>
      <w:r>
        <w:rPr>
          <w:kern w:val="0"/>
          <w:szCs w:val="32"/>
        </w:rPr>
        <w:t xml:space="preserve">  </w:t>
      </w:r>
      <w:r>
        <w:rPr>
          <w:rFonts w:hint="eastAsia"/>
          <w:kern w:val="0"/>
          <w:szCs w:val="32"/>
        </w:rPr>
        <w:t>专业法官会议按照下列规则组织讨论：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（一）独任庭或者合议庭作简要介绍；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（二）参加人员就有关问题进行询问；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（三）列席人员发言；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（四）参加人员按照法官等级等由低到高的顺序发表明确意见，法官等级相同的，由晋升现等级时间较短者先发表意见；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（五）主持人视情况组织后续轮次讨论；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（六）主持人最后发表意见；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（七）主持人总结归纳讨论情况，形成讨论意见。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ascii="仿宋_GB2312" w:hAnsi="仿宋_GB2312" w:cs="仿宋_GB2312"/>
          <w:color w:val="333333"/>
          <w:kern w:val="0"/>
          <w:szCs w:val="32"/>
          <w:shd w:val="clear" w:color="auto" w:fill="FFFFFF"/>
        </w:rPr>
      </w:pPr>
      <w:r>
        <w:rPr>
          <w:rFonts w:eastAsia="黑体"/>
          <w:kern w:val="0"/>
          <w:szCs w:val="32"/>
        </w:rPr>
        <w:t>第十</w:t>
      </w:r>
      <w:r>
        <w:rPr>
          <w:rFonts w:hint="eastAsia" w:eastAsia="黑体"/>
          <w:kern w:val="0"/>
          <w:szCs w:val="32"/>
        </w:rPr>
        <w:t>五</w:t>
      </w:r>
      <w:r>
        <w:rPr>
          <w:rFonts w:eastAsia="黑体"/>
          <w:kern w:val="0"/>
          <w:szCs w:val="32"/>
        </w:rPr>
        <w:t>条</w:t>
      </w:r>
      <w:r>
        <w:rPr>
          <w:kern w:val="0"/>
          <w:szCs w:val="32"/>
        </w:rPr>
        <w:t xml:space="preserve">  </w:t>
      </w:r>
      <w:r>
        <w:rPr>
          <w:rFonts w:hint="eastAsia" w:ascii="仿宋_GB2312" w:hAnsi="仿宋_GB2312" w:cs="仿宋_GB2312"/>
          <w:color w:val="333333"/>
          <w:kern w:val="0"/>
          <w:szCs w:val="32"/>
          <w:shd w:val="clear" w:color="auto" w:fill="FFFFFF"/>
        </w:rPr>
        <w:t>参加、列席专业法官会议的人员和会务人员应当严格遵守保密工作纪律，不得向无关人员泄露会议议题、案件信息和讨论情况等审判工作秘密；因泄密造成严重后果的，依纪依法追究纪律责任直至刑事责任。</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eastAsia="黑体"/>
          <w:kern w:val="0"/>
          <w:szCs w:val="32"/>
        </w:rPr>
        <w:t>第十</w:t>
      </w:r>
      <w:r>
        <w:rPr>
          <w:rFonts w:hint="eastAsia" w:eastAsia="黑体"/>
          <w:kern w:val="0"/>
          <w:szCs w:val="32"/>
        </w:rPr>
        <w:t>六</w:t>
      </w:r>
      <w:r>
        <w:rPr>
          <w:rFonts w:eastAsia="黑体"/>
          <w:kern w:val="0"/>
          <w:szCs w:val="32"/>
        </w:rPr>
        <w:t>条</w:t>
      </w:r>
      <w:r>
        <w:rPr>
          <w:kern w:val="0"/>
          <w:szCs w:val="32"/>
        </w:rPr>
        <w:t xml:space="preserve">  </w:t>
      </w:r>
      <w:r>
        <w:rPr>
          <w:rFonts w:hint="eastAsia"/>
          <w:kern w:val="0"/>
          <w:szCs w:val="32"/>
        </w:rPr>
        <w:t>专业法官会议讨论形成的意见供审判组织和院庭长参考。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经专业法官会议讨论的“四类案件”，独任庭、合议庭应当及时复议；专业法官会议没有形成多数意见，独任庭、合议庭复议后的意见与专业法官会议多数意见不一致，或者独任庭、合议庭对法律适用问题难以作出决定的，应当层报院长提交审判委员会讨论决定。</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hint="eastAsia"/>
          <w:kern w:val="0"/>
          <w:szCs w:val="32"/>
        </w:rPr>
        <w:t>经专业法官会议讨论的“四类案件”以外的其他案件，专业法官会议没有形成多数意见，或者独任庭、合议庭复议后的意见仍然与专业法官会议多数意见不一致的，可以层报院长提交审判委员会讨论决定。</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kern w:val="0"/>
          <w:szCs w:val="32"/>
        </w:rPr>
        <w:t>独任庭、合议庭复议情况，以及院庭长提交审判委员会讨论决定的情况，应当在办案平台或者案卷中留痕。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eastAsia="黑体"/>
          <w:kern w:val="0"/>
          <w:szCs w:val="32"/>
        </w:rPr>
        <w:t>第十</w:t>
      </w:r>
      <w:r>
        <w:rPr>
          <w:rFonts w:hint="eastAsia" w:eastAsia="黑体"/>
          <w:kern w:val="0"/>
          <w:szCs w:val="32"/>
        </w:rPr>
        <w:t>七</w:t>
      </w:r>
      <w:r>
        <w:rPr>
          <w:rFonts w:eastAsia="黑体"/>
          <w:kern w:val="0"/>
          <w:szCs w:val="32"/>
        </w:rPr>
        <w:t>条</w:t>
      </w:r>
      <w:r>
        <w:rPr>
          <w:b/>
          <w:kern w:val="0"/>
          <w:szCs w:val="32"/>
        </w:rPr>
        <w:t xml:space="preserve">  </w:t>
      </w:r>
      <w:r>
        <w:rPr>
          <w:rFonts w:hint="eastAsia"/>
          <w:kern w:val="0"/>
          <w:szCs w:val="32"/>
        </w:rPr>
        <w:t>相关审判庭室应当定期总结专业法官会议工作情况，组织整理形成会议纪要、典型案例、裁判规则等统一法律适用成果，并报审管办</w:t>
      </w:r>
      <w:r>
        <w:rPr>
          <w:kern w:val="0"/>
          <w:szCs w:val="32"/>
        </w:rPr>
        <w:t>（研究室）</w:t>
      </w:r>
      <w:r>
        <w:rPr>
          <w:rFonts w:hint="eastAsia"/>
          <w:kern w:val="0"/>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kern w:val="0"/>
          <w:szCs w:val="32"/>
        </w:rPr>
      </w:pPr>
      <w:r>
        <w:rPr>
          <w:rFonts w:hint="eastAsia" w:eastAsia="黑体"/>
          <w:kern w:val="0"/>
          <w:szCs w:val="32"/>
        </w:rPr>
        <w:t xml:space="preserve">第十八条   </w:t>
      </w:r>
      <w:r>
        <w:rPr>
          <w:rFonts w:hint="eastAsia"/>
          <w:kern w:val="0"/>
          <w:szCs w:val="32"/>
        </w:rPr>
        <w:t>员额法官及审判辅助人员参加专业法官会议的情况应当计入工作量，参会人员在会上发表的观点对推动解决法律适用分歧、促成公正高效裁判发挥重要作用的，可以综合作为绩效考核和等级晋升时的重要参考因素；经研究、整理会议讨论意见，形成被上级法院推广的典型案例、全院类案裁判尺度等法律适用成果的，可以作为绩效考核时的加分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kern w:val="0"/>
          <w:szCs w:val="32"/>
        </w:rPr>
      </w:pPr>
      <w:r>
        <w:rPr>
          <w:rFonts w:eastAsia="黑体"/>
          <w:kern w:val="0"/>
          <w:szCs w:val="32"/>
        </w:rPr>
        <w:t>第十</w:t>
      </w:r>
      <w:r>
        <w:rPr>
          <w:rFonts w:hint="eastAsia" w:eastAsia="黑体"/>
          <w:kern w:val="0"/>
          <w:szCs w:val="32"/>
        </w:rPr>
        <w:t>九</w:t>
      </w:r>
      <w:r>
        <w:rPr>
          <w:rFonts w:eastAsia="黑体"/>
          <w:kern w:val="0"/>
          <w:szCs w:val="32"/>
        </w:rPr>
        <w:t>条</w:t>
      </w:r>
      <w:r>
        <w:rPr>
          <w:kern w:val="0"/>
          <w:szCs w:val="32"/>
        </w:rPr>
        <w:t xml:space="preserve">  本规则自印发之日起试行，由本院审判委员会负责解释。自2014年6月25日施行的《</w:t>
      </w:r>
      <w:r>
        <w:rPr>
          <w:rFonts w:hint="eastAsia"/>
          <w:kern w:val="0"/>
          <w:szCs w:val="32"/>
        </w:rPr>
        <w:t>广州市南沙区人民法院关于法官会商的规定</w:t>
      </w:r>
      <w:r>
        <w:rPr>
          <w:kern w:val="0"/>
          <w:szCs w:val="32"/>
        </w:rPr>
        <w:t>》同时废止。</w:t>
      </w:r>
    </w:p>
    <w:p>
      <w:pPr>
        <w:rPr>
          <w:rFonts w:hint="eastAsia" w:ascii="仿宋_GB2312"/>
          <w:sz w:val="28"/>
          <w:szCs w:val="28"/>
        </w:rPr>
      </w:pPr>
      <w:r>
        <w:rPr>
          <w:rFonts w:hint="eastAsia" w:ascii="仿宋_GB2312"/>
          <w:sz w:val="28"/>
          <w:szCs w:val="28"/>
        </w:rPr>
        <w:br w:type="page"/>
      </w:r>
      <w:bookmarkStart w:id="0" w:name="_GoBack"/>
      <w:bookmarkEnd w:id="0"/>
    </w:p>
    <w:p>
      <w:pPr>
        <w:spacing w:line="360" w:lineRule="auto"/>
        <w:rPr>
          <w:rFonts w:ascii="仿宋_GB2312"/>
          <w:sz w:val="28"/>
          <w:szCs w:val="28"/>
        </w:rPr>
      </w:pPr>
    </w:p>
    <w:sectPr>
      <w:footerReference r:id="rId3" w:type="default"/>
      <w:footerReference r:id="rId4" w:type="even"/>
      <w:pgSz w:w="11906" w:h="16838"/>
      <w:pgMar w:top="2098" w:right="1474" w:bottom="1985" w:left="1588" w:header="851" w:footer="1418" w:gutter="0"/>
      <w:cols w:space="425" w:num="1"/>
      <w:docGrid w:type="linesAndChars" w:linePitch="615"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wordWrap w:val="0"/>
      <w:rPr>
        <w:rStyle w:val="11"/>
        <w:rFonts w:ascii="宋体" w:hAnsi="宋体" w:eastAsia="宋体"/>
        <w:sz w:val="28"/>
        <w:szCs w:val="28"/>
      </w:rPr>
    </w:pPr>
    <w:r>
      <w:rPr>
        <w:rFonts w:hint="eastAsia" w:ascii="宋体" w:hAnsi="宋体" w:eastAsia="宋体"/>
        <w:sz w:val="28"/>
        <w:szCs w:val="28"/>
      </w:rPr>
      <w:t xml:space="preserve">　— </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1</w:t>
    </w:r>
    <w:r>
      <w:rPr>
        <w:rFonts w:ascii="宋体" w:hAnsi="宋体" w:eastAsia="宋体"/>
        <w:sz w:val="28"/>
        <w:szCs w:val="28"/>
      </w:rPr>
      <w:fldChar w:fldCharType="end"/>
    </w:r>
    <w:r>
      <w:rPr>
        <w:rFonts w:hint="eastAsia" w:ascii="宋体" w:hAnsi="宋体" w:eastAsia="宋体"/>
        <w:sz w:val="28"/>
        <w:szCs w:val="28"/>
      </w:rPr>
      <w:t xml:space="preserve"> —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drawingGridHorizontalSpacing w:val="170"/>
  <w:drawingGridVerticalSpacing w:val="61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77D1E"/>
    <w:rsid w:val="00000AC2"/>
    <w:rsid w:val="00011E89"/>
    <w:rsid w:val="00012A47"/>
    <w:rsid w:val="00040AA0"/>
    <w:rsid w:val="0004270B"/>
    <w:rsid w:val="00051961"/>
    <w:rsid w:val="0005660C"/>
    <w:rsid w:val="000729E7"/>
    <w:rsid w:val="00084631"/>
    <w:rsid w:val="00086BB2"/>
    <w:rsid w:val="0009132E"/>
    <w:rsid w:val="00091EB3"/>
    <w:rsid w:val="0009661F"/>
    <w:rsid w:val="000B33BF"/>
    <w:rsid w:val="000B5817"/>
    <w:rsid w:val="000B7F1A"/>
    <w:rsid w:val="000E196C"/>
    <w:rsid w:val="000E53EC"/>
    <w:rsid w:val="001002D9"/>
    <w:rsid w:val="00107611"/>
    <w:rsid w:val="00112CC8"/>
    <w:rsid w:val="00122983"/>
    <w:rsid w:val="00137CED"/>
    <w:rsid w:val="00163B41"/>
    <w:rsid w:val="001971E2"/>
    <w:rsid w:val="001B225F"/>
    <w:rsid w:val="001B4384"/>
    <w:rsid w:val="001C017A"/>
    <w:rsid w:val="001D0710"/>
    <w:rsid w:val="001D1ACA"/>
    <w:rsid w:val="001D281B"/>
    <w:rsid w:val="001F211D"/>
    <w:rsid w:val="00204EAB"/>
    <w:rsid w:val="00226A24"/>
    <w:rsid w:val="00230EE4"/>
    <w:rsid w:val="00232BA0"/>
    <w:rsid w:val="0023664B"/>
    <w:rsid w:val="002419B0"/>
    <w:rsid w:val="002450B2"/>
    <w:rsid w:val="00250789"/>
    <w:rsid w:val="00264624"/>
    <w:rsid w:val="00265B4C"/>
    <w:rsid w:val="002A30DA"/>
    <w:rsid w:val="002A6144"/>
    <w:rsid w:val="002A6A98"/>
    <w:rsid w:val="002B0CEC"/>
    <w:rsid w:val="002B4B22"/>
    <w:rsid w:val="002E03D7"/>
    <w:rsid w:val="002E290A"/>
    <w:rsid w:val="002F65AE"/>
    <w:rsid w:val="00310487"/>
    <w:rsid w:val="00320BE3"/>
    <w:rsid w:val="00322DDB"/>
    <w:rsid w:val="0032456A"/>
    <w:rsid w:val="00325F77"/>
    <w:rsid w:val="00331589"/>
    <w:rsid w:val="00334353"/>
    <w:rsid w:val="00334A7F"/>
    <w:rsid w:val="00334C35"/>
    <w:rsid w:val="00335078"/>
    <w:rsid w:val="00341F64"/>
    <w:rsid w:val="00361A10"/>
    <w:rsid w:val="003634F3"/>
    <w:rsid w:val="00364E75"/>
    <w:rsid w:val="003758A6"/>
    <w:rsid w:val="00377D7D"/>
    <w:rsid w:val="003813C1"/>
    <w:rsid w:val="00393E96"/>
    <w:rsid w:val="003B00D5"/>
    <w:rsid w:val="003B79A8"/>
    <w:rsid w:val="003C16DA"/>
    <w:rsid w:val="003C63AE"/>
    <w:rsid w:val="003D3E76"/>
    <w:rsid w:val="003D56E8"/>
    <w:rsid w:val="003E4165"/>
    <w:rsid w:val="003F2AFD"/>
    <w:rsid w:val="004041E1"/>
    <w:rsid w:val="00407A81"/>
    <w:rsid w:val="004241C2"/>
    <w:rsid w:val="004265E7"/>
    <w:rsid w:val="00434A9B"/>
    <w:rsid w:val="00435CEC"/>
    <w:rsid w:val="00454DF7"/>
    <w:rsid w:val="00461A94"/>
    <w:rsid w:val="00463F74"/>
    <w:rsid w:val="004725D4"/>
    <w:rsid w:val="00492D8E"/>
    <w:rsid w:val="004A410B"/>
    <w:rsid w:val="004A7425"/>
    <w:rsid w:val="004B1489"/>
    <w:rsid w:val="004C00AC"/>
    <w:rsid w:val="004C0B04"/>
    <w:rsid w:val="004D0BBD"/>
    <w:rsid w:val="004D4E6D"/>
    <w:rsid w:val="004D705C"/>
    <w:rsid w:val="004E74C0"/>
    <w:rsid w:val="00517182"/>
    <w:rsid w:val="005176C5"/>
    <w:rsid w:val="00534755"/>
    <w:rsid w:val="00536D47"/>
    <w:rsid w:val="005446AC"/>
    <w:rsid w:val="00553F52"/>
    <w:rsid w:val="00556A16"/>
    <w:rsid w:val="00564356"/>
    <w:rsid w:val="00580E43"/>
    <w:rsid w:val="005B18BC"/>
    <w:rsid w:val="005D6657"/>
    <w:rsid w:val="005E0D07"/>
    <w:rsid w:val="005E4387"/>
    <w:rsid w:val="005F6630"/>
    <w:rsid w:val="00601621"/>
    <w:rsid w:val="00644AB1"/>
    <w:rsid w:val="0065115B"/>
    <w:rsid w:val="00660DD3"/>
    <w:rsid w:val="00662133"/>
    <w:rsid w:val="00675493"/>
    <w:rsid w:val="00684DB1"/>
    <w:rsid w:val="0069787B"/>
    <w:rsid w:val="006A02D9"/>
    <w:rsid w:val="006C3D25"/>
    <w:rsid w:val="006D4B2B"/>
    <w:rsid w:val="006E2AA6"/>
    <w:rsid w:val="006E2EC8"/>
    <w:rsid w:val="006E5D5C"/>
    <w:rsid w:val="006E69E6"/>
    <w:rsid w:val="00700D6C"/>
    <w:rsid w:val="0071772B"/>
    <w:rsid w:val="00736A94"/>
    <w:rsid w:val="007567B8"/>
    <w:rsid w:val="00761D86"/>
    <w:rsid w:val="00780C51"/>
    <w:rsid w:val="00784D40"/>
    <w:rsid w:val="00786C31"/>
    <w:rsid w:val="00794147"/>
    <w:rsid w:val="007A58BA"/>
    <w:rsid w:val="007B412A"/>
    <w:rsid w:val="007B7E6D"/>
    <w:rsid w:val="007D432D"/>
    <w:rsid w:val="007E27DE"/>
    <w:rsid w:val="007E6A1B"/>
    <w:rsid w:val="00800D5A"/>
    <w:rsid w:val="00802C26"/>
    <w:rsid w:val="008175AA"/>
    <w:rsid w:val="0082059C"/>
    <w:rsid w:val="008336AF"/>
    <w:rsid w:val="00850B20"/>
    <w:rsid w:val="008519CE"/>
    <w:rsid w:val="008551ED"/>
    <w:rsid w:val="00871F88"/>
    <w:rsid w:val="00876446"/>
    <w:rsid w:val="00882B8B"/>
    <w:rsid w:val="008851A5"/>
    <w:rsid w:val="008908FF"/>
    <w:rsid w:val="00896D0B"/>
    <w:rsid w:val="008D0D15"/>
    <w:rsid w:val="008D0F9A"/>
    <w:rsid w:val="008D6422"/>
    <w:rsid w:val="008F1104"/>
    <w:rsid w:val="00902EC4"/>
    <w:rsid w:val="009042B7"/>
    <w:rsid w:val="009311DF"/>
    <w:rsid w:val="00937438"/>
    <w:rsid w:val="0093793A"/>
    <w:rsid w:val="00937E31"/>
    <w:rsid w:val="009441EC"/>
    <w:rsid w:val="009459E1"/>
    <w:rsid w:val="00953621"/>
    <w:rsid w:val="00960957"/>
    <w:rsid w:val="00972AC7"/>
    <w:rsid w:val="00977D1E"/>
    <w:rsid w:val="00981122"/>
    <w:rsid w:val="009963C5"/>
    <w:rsid w:val="009A315D"/>
    <w:rsid w:val="009B40E9"/>
    <w:rsid w:val="009B7864"/>
    <w:rsid w:val="009C67CA"/>
    <w:rsid w:val="009C7104"/>
    <w:rsid w:val="009D4897"/>
    <w:rsid w:val="009E67F5"/>
    <w:rsid w:val="009F0C84"/>
    <w:rsid w:val="009F2FE1"/>
    <w:rsid w:val="009F6487"/>
    <w:rsid w:val="009F7EAC"/>
    <w:rsid w:val="00A02786"/>
    <w:rsid w:val="00A040D3"/>
    <w:rsid w:val="00A1308C"/>
    <w:rsid w:val="00A204AC"/>
    <w:rsid w:val="00A2705A"/>
    <w:rsid w:val="00A35FE9"/>
    <w:rsid w:val="00A46A21"/>
    <w:rsid w:val="00A519F9"/>
    <w:rsid w:val="00A55BA0"/>
    <w:rsid w:val="00A81E89"/>
    <w:rsid w:val="00AB261E"/>
    <w:rsid w:val="00AC518E"/>
    <w:rsid w:val="00AD4118"/>
    <w:rsid w:val="00AD57AC"/>
    <w:rsid w:val="00AE3D09"/>
    <w:rsid w:val="00B365F1"/>
    <w:rsid w:val="00B5395B"/>
    <w:rsid w:val="00B64E25"/>
    <w:rsid w:val="00B66A08"/>
    <w:rsid w:val="00B67D14"/>
    <w:rsid w:val="00B7655B"/>
    <w:rsid w:val="00B82BF1"/>
    <w:rsid w:val="00B83A64"/>
    <w:rsid w:val="00B917A3"/>
    <w:rsid w:val="00B93CE9"/>
    <w:rsid w:val="00BA7B1C"/>
    <w:rsid w:val="00BC0A07"/>
    <w:rsid w:val="00BC132D"/>
    <w:rsid w:val="00BC55C6"/>
    <w:rsid w:val="00BE1E5B"/>
    <w:rsid w:val="00BF44EE"/>
    <w:rsid w:val="00BF5F92"/>
    <w:rsid w:val="00C10678"/>
    <w:rsid w:val="00C156B7"/>
    <w:rsid w:val="00C22C6F"/>
    <w:rsid w:val="00C232F9"/>
    <w:rsid w:val="00C3497C"/>
    <w:rsid w:val="00C60FFA"/>
    <w:rsid w:val="00C717AF"/>
    <w:rsid w:val="00C933D4"/>
    <w:rsid w:val="00C9724C"/>
    <w:rsid w:val="00CA5CD8"/>
    <w:rsid w:val="00CB0DE2"/>
    <w:rsid w:val="00CB591F"/>
    <w:rsid w:val="00CB599C"/>
    <w:rsid w:val="00CF33A0"/>
    <w:rsid w:val="00CF3787"/>
    <w:rsid w:val="00D0702A"/>
    <w:rsid w:val="00D0772B"/>
    <w:rsid w:val="00D355DD"/>
    <w:rsid w:val="00D578D0"/>
    <w:rsid w:val="00D603CC"/>
    <w:rsid w:val="00D72432"/>
    <w:rsid w:val="00D75745"/>
    <w:rsid w:val="00D75B1D"/>
    <w:rsid w:val="00D76110"/>
    <w:rsid w:val="00D90C8D"/>
    <w:rsid w:val="00D92BA5"/>
    <w:rsid w:val="00D95F78"/>
    <w:rsid w:val="00DA126D"/>
    <w:rsid w:val="00DB3B13"/>
    <w:rsid w:val="00DC1F6B"/>
    <w:rsid w:val="00DE38B6"/>
    <w:rsid w:val="00DE635F"/>
    <w:rsid w:val="00E0633F"/>
    <w:rsid w:val="00E07CE2"/>
    <w:rsid w:val="00E14131"/>
    <w:rsid w:val="00E172E7"/>
    <w:rsid w:val="00E2137C"/>
    <w:rsid w:val="00E216B2"/>
    <w:rsid w:val="00E234C2"/>
    <w:rsid w:val="00E27609"/>
    <w:rsid w:val="00E3566E"/>
    <w:rsid w:val="00E35CCB"/>
    <w:rsid w:val="00E458BF"/>
    <w:rsid w:val="00E509B1"/>
    <w:rsid w:val="00E60BC1"/>
    <w:rsid w:val="00E814F8"/>
    <w:rsid w:val="00E81991"/>
    <w:rsid w:val="00E87F00"/>
    <w:rsid w:val="00E92D6F"/>
    <w:rsid w:val="00EA3A8D"/>
    <w:rsid w:val="00EA6374"/>
    <w:rsid w:val="00EE761C"/>
    <w:rsid w:val="00EF5B3A"/>
    <w:rsid w:val="00F21A9C"/>
    <w:rsid w:val="00F26240"/>
    <w:rsid w:val="00F30E23"/>
    <w:rsid w:val="00F4643C"/>
    <w:rsid w:val="00F46B64"/>
    <w:rsid w:val="00F50FAA"/>
    <w:rsid w:val="00F51656"/>
    <w:rsid w:val="00F51BB7"/>
    <w:rsid w:val="00F52295"/>
    <w:rsid w:val="00F90844"/>
    <w:rsid w:val="00FA1A37"/>
    <w:rsid w:val="00FA6F19"/>
    <w:rsid w:val="00FB5F43"/>
    <w:rsid w:val="00FD0334"/>
    <w:rsid w:val="00FD15C8"/>
    <w:rsid w:val="00FD4C13"/>
    <w:rsid w:val="00FE07C4"/>
    <w:rsid w:val="00FE4501"/>
    <w:rsid w:val="00FE4A92"/>
    <w:rsid w:val="00FE53BB"/>
    <w:rsid w:val="00FE6011"/>
    <w:rsid w:val="00FE7E91"/>
    <w:rsid w:val="03CF329F"/>
    <w:rsid w:val="054B0351"/>
    <w:rsid w:val="0B485D72"/>
    <w:rsid w:val="0FF20685"/>
    <w:rsid w:val="16E60821"/>
    <w:rsid w:val="1CC872F5"/>
    <w:rsid w:val="21B87493"/>
    <w:rsid w:val="221377D5"/>
    <w:rsid w:val="26210C1E"/>
    <w:rsid w:val="2AFD0F8B"/>
    <w:rsid w:val="3C01177E"/>
    <w:rsid w:val="59004FFB"/>
    <w:rsid w:val="62261193"/>
    <w:rsid w:val="68B7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5"/>
    <w:qFormat/>
    <w:uiPriority w:val="0"/>
    <w:pPr>
      <w:spacing w:after="120"/>
      <w:ind w:left="420" w:leftChars="200"/>
    </w:pPr>
    <w:rPr>
      <w:szCs w:val="21"/>
    </w:rPr>
  </w:style>
  <w:style w:type="paragraph" w:styleId="3">
    <w:name w:val="Date"/>
    <w:basedOn w:val="1"/>
    <w:next w:val="1"/>
    <w:qFormat/>
    <w:uiPriority w:val="0"/>
    <w:pPr>
      <w:ind w:left="100" w:leftChars="2500"/>
    </w:pPr>
  </w:style>
  <w:style w:type="paragraph" w:styleId="4">
    <w:name w:val="Balloon Text"/>
    <w:basedOn w:val="1"/>
    <w:link w:val="21"/>
    <w:semiHidden/>
    <w:qFormat/>
    <w:uiPriority w:val="0"/>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character" w:styleId="12">
    <w:name w:val="FollowedHyperlink"/>
    <w:basedOn w:val="10"/>
    <w:qFormat/>
    <w:uiPriority w:val="0"/>
    <w:rPr>
      <w:rFonts w:cs="Times New Roman"/>
      <w:color w:val="000000"/>
    </w:rPr>
  </w:style>
  <w:style w:type="character" w:styleId="13">
    <w:name w:val="Emphasis"/>
    <w:basedOn w:val="10"/>
    <w:qFormat/>
    <w:uiPriority w:val="0"/>
    <w:rPr>
      <w:rFonts w:cs="Times New Roman"/>
    </w:rPr>
  </w:style>
  <w:style w:type="character" w:styleId="14">
    <w:name w:val="Hyperlink"/>
    <w:basedOn w:val="10"/>
    <w:qFormat/>
    <w:uiPriority w:val="0"/>
    <w:rPr>
      <w:rFonts w:cs="Times New Roman"/>
      <w:color w:val="000000"/>
    </w:rPr>
  </w:style>
  <w:style w:type="character" w:customStyle="1" w:styleId="15">
    <w:name w:val="页脚 Char"/>
    <w:basedOn w:val="10"/>
    <w:link w:val="5"/>
    <w:qFormat/>
    <w:uiPriority w:val="0"/>
    <w:rPr>
      <w:rFonts w:eastAsia="宋体"/>
      <w:kern w:val="2"/>
      <w:sz w:val="18"/>
      <w:szCs w:val="18"/>
      <w:lang w:val="en-US" w:eastAsia="zh-CN" w:bidi="ar-SA"/>
    </w:rPr>
  </w:style>
  <w:style w:type="paragraph" w:customStyle="1" w:styleId="16">
    <w:name w:val="Char1 Char Char Char Char Char Char"/>
    <w:basedOn w:val="1"/>
    <w:qFormat/>
    <w:uiPriority w:val="0"/>
    <w:pPr>
      <w:widowControl/>
      <w:tabs>
        <w:tab w:val="left" w:pos="425"/>
        <w:tab w:val="left" w:pos="6660"/>
      </w:tabs>
      <w:ind w:left="425" w:hanging="425"/>
    </w:pPr>
  </w:style>
  <w:style w:type="paragraph" w:customStyle="1" w:styleId="17">
    <w:name w:val="列出段落1"/>
    <w:basedOn w:val="1"/>
    <w:qFormat/>
    <w:uiPriority w:val="0"/>
    <w:pPr>
      <w:ind w:firstLine="420" w:firstLineChars="200"/>
    </w:pPr>
    <w:rPr>
      <w:rFonts w:ascii="Calibri" w:hAnsi="Calibri"/>
      <w:szCs w:val="22"/>
    </w:rPr>
  </w:style>
  <w:style w:type="character" w:customStyle="1" w:styleId="18">
    <w:name w:val="页眉 Char"/>
    <w:basedOn w:val="10"/>
    <w:link w:val="6"/>
    <w:qFormat/>
    <w:locked/>
    <w:uiPriority w:val="0"/>
    <w:rPr>
      <w:rFonts w:eastAsia="宋体"/>
      <w:kern w:val="2"/>
      <w:sz w:val="18"/>
      <w:szCs w:val="18"/>
      <w:lang w:val="en-US" w:eastAsia="zh-CN" w:bidi="ar-SA"/>
    </w:rPr>
  </w:style>
  <w:style w:type="paragraph" w:customStyle="1" w:styleId="19">
    <w:name w:val="List Paragraph1"/>
    <w:basedOn w:val="1"/>
    <w:qFormat/>
    <w:uiPriority w:val="0"/>
    <w:pPr>
      <w:ind w:firstLine="420" w:firstLineChars="200"/>
    </w:pPr>
    <w:rPr>
      <w:rFonts w:ascii="Calibri" w:hAnsi="Calibri" w:cs="Calibri"/>
      <w:szCs w:val="21"/>
    </w:rPr>
  </w:style>
  <w:style w:type="paragraph" w:customStyle="1" w:styleId="20">
    <w:name w:val="List Paragraph11"/>
    <w:basedOn w:val="1"/>
    <w:qFormat/>
    <w:uiPriority w:val="0"/>
    <w:pPr>
      <w:ind w:firstLine="420" w:firstLineChars="200"/>
    </w:pPr>
    <w:rPr>
      <w:rFonts w:ascii="Calibri" w:hAnsi="Calibri" w:cs="Calibri"/>
      <w:szCs w:val="21"/>
    </w:rPr>
  </w:style>
  <w:style w:type="character" w:customStyle="1" w:styleId="21">
    <w:name w:val="批注框文本 Char"/>
    <w:basedOn w:val="10"/>
    <w:link w:val="4"/>
    <w:semiHidden/>
    <w:uiPriority w:val="0"/>
    <w:rPr>
      <w:rFonts w:eastAsia="宋体"/>
      <w:kern w:val="2"/>
      <w:sz w:val="18"/>
      <w:szCs w:val="18"/>
      <w:lang w:val="en-US" w:eastAsia="zh-CN" w:bidi="ar-SA"/>
    </w:rPr>
  </w:style>
  <w:style w:type="paragraph" w:customStyle="1" w:styleId="22">
    <w:name w:val="Char1 Char Char Char Char Char Char1"/>
    <w:basedOn w:val="1"/>
    <w:qFormat/>
    <w:uiPriority w:val="0"/>
    <w:pPr>
      <w:widowControl/>
      <w:tabs>
        <w:tab w:val="left" w:pos="425"/>
        <w:tab w:val="left" w:pos="6660"/>
      </w:tabs>
      <w:ind w:left="425" w:hanging="425"/>
    </w:pPr>
    <w:rPr>
      <w:rFonts w:ascii="Tahoma" w:hAnsi="Tahoma"/>
      <w:sz w:val="24"/>
    </w:rPr>
  </w:style>
  <w:style w:type="paragraph" w:customStyle="1" w:styleId="23">
    <w:name w:val="p15"/>
    <w:basedOn w:val="1"/>
    <w:qFormat/>
    <w:uiPriority w:val="0"/>
    <w:pPr>
      <w:widowControl/>
      <w:spacing w:before="100" w:after="100"/>
      <w:jc w:val="left"/>
    </w:pPr>
    <w:rPr>
      <w:rFonts w:ascii="宋体" w:hAnsi="宋体" w:cs="宋体"/>
      <w:kern w:val="0"/>
      <w:sz w:val="24"/>
    </w:rPr>
  </w:style>
  <w:style w:type="paragraph" w:customStyle="1" w:styleId="24">
    <w:name w:val="p0"/>
    <w:basedOn w:val="1"/>
    <w:qFormat/>
    <w:uiPriority w:val="0"/>
    <w:pPr>
      <w:widowControl/>
    </w:pPr>
    <w:rPr>
      <w:rFonts w:ascii="Calibri" w:hAnsi="Calibri" w:cs="宋体"/>
      <w:kern w:val="0"/>
      <w:szCs w:val="21"/>
    </w:rPr>
  </w:style>
  <w:style w:type="character" w:customStyle="1" w:styleId="25">
    <w:name w:val="正文文本缩进 Char"/>
    <w:basedOn w:val="10"/>
    <w:link w:val="2"/>
    <w:semiHidden/>
    <w:qFormat/>
    <w:locked/>
    <w:uiPriority w:val="0"/>
    <w:rPr>
      <w:rFonts w:eastAsia="宋体"/>
      <w:kern w:val="2"/>
      <w:sz w:val="21"/>
      <w:szCs w:val="21"/>
      <w:lang w:val="en-US" w:eastAsia="zh-CN" w:bidi="ar-SA"/>
    </w:rPr>
  </w:style>
  <w:style w:type="paragraph" w:customStyle="1" w:styleId="26">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7">
    <w:name w:val="正文文本 + 12 pt"/>
    <w:uiPriority w:val="0"/>
    <w:rPr>
      <w:rFonts w:hint="eastAsia" w:ascii="MingLiU" w:hAnsi="MingLiU" w:eastAsia="MingLiU"/>
      <w:b/>
      <w:color w:val="000000"/>
      <w:spacing w:val="-10"/>
      <w:w w:val="100"/>
      <w:position w:val="0"/>
      <w:sz w:val="24"/>
      <w:u w:val="none"/>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700;&#38754;&#25991;&#20214;&#22841;\&#27169;&#26495;\&#32418;&#22836;&#25991;&#20214;&#20415;&#31614;&#22836;&#27169;&#26495;&#65288;&#28155;&#21152;&#39029;&#30721;&#65289;\&#32418;&#22836;&#25991;&#20214;bot&#27169;&#26495;&#25991;&#26723;\&#26684;&#24335;&#12304;&#21452;&#25991;&#12305;&#65288;&#24191;&#24030;&#24066;&#21335;&#27801;&#21306;&#20154;&#27665;&#27861;&#38498;+&#24191;&#19996;&#33258;&#30001;&#36152;&#26131;&#21306;&#21335;&#27801;&#29255;&#21306;&#20154;&#27665;&#27861;&#38498;+&#31319;&#21335;&#27861;&#12308;202X&#12309;&#21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格式【双文】（广州市南沙区人民法院+广东自由贸易区南沙片区人民法院+穗南法〔202X〕号）</Template>
  <Pages>8</Pages>
  <Words>435</Words>
  <Characters>2481</Characters>
  <Lines>20</Lines>
  <Paragraphs>5</Paragraphs>
  <TotalTime>5</TotalTime>
  <ScaleCrop>false</ScaleCrop>
  <LinksUpToDate>false</LinksUpToDate>
  <CharactersWithSpaces>2911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2021-03-04T02:21:00Z</dcterms:created>
  <dc:creator>苏晓珠</dc:creator>
  <cp:lastModifiedBy>Administrator</cp:lastModifiedBy>
  <cp:lastPrinted>2017-08-17T01:16:00Z</cp:lastPrinted>
  <dcterms:modified xsi:type="dcterms:W3CDTF">2021-11-05T02:33:43Z</dcterms:modified>
  <dc:title>穗南法〔2021〕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AD61341F84894E72B10E9C98ED438D8C</vt:lpwstr>
  </property>
</Properties>
</file>